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AVBayHIG (Bayern) — Verleihung des Promotionsrechts für wissenschaftliche Einrichtungen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einer staatlichen oder staatlich anerkannten Hochschule für angewandte Wissenschaften in Bayern kann das Staatsministerium unter den Voraussetzungen des Art. 96 Abs. 7 Satz 1 und 2 BayHIG der Hochschule für eine wissenschaftliche Einrichtung ein fachlich begrenztes Promotionsrecht verleihen. Die Ausübung des Promotionsrechts ist auf höchstens sieben Jahre zu befristen.</w:t>
      </w:r>
    </w:p>
    <w:p>
      <w:r>
        <w:t xml:space="preserve">(2) Über den Antrag entscheidet das Staatsministerium schriftlich durch Verwaltungsakt.</w:t>
      </w:r>
    </w:p>
    <w:p>
      <w:r>
        <w:rPr>
          <w:color w:val="555555"/>
          <w:sz w:val="17"/>
        </w:rPr>
        <w:t xml:space="preserve">Zitiervorschlag: § 17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