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AVBayHIG (Bayern) — Arten und Gewichtung von Lehrveranstaltungen und Lehrtätigkeiten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 die Lehrverpflichtung anrechenbaren Arten von Lehrveranstaltungen und Betreuungstätigkeiten einschließlich digitaler Formate und deren jeweilige Gewichtung werden nach Maßgabe der Leitlinien gemäß § 1 Abs. 1 Satz 2 und unter Beachtung von § 2 Abs. 1 und 6 festgelegt. In den Prüfungsordnungen, Studienordnungen oder Studienplänen vorgesehene Lehrveranstaltungen sind grundsätzlich auf die Lehrverpflichtung anzurechnen.</w:t>
      </w:r>
    </w:p>
    <w:p>
      <w:r>
        <w:t xml:space="preserve">(2) Eine Anrechnung auf die Lehrverpflichtung setzt voraus, dass die Lehrveranstaltung während ihrer Durchführung von der Lehrperson aktiv betreut wird.</w:t>
      </w:r>
    </w:p>
    <w:p>
      <w:r>
        <w:rPr>
          <w:color w:val="555555"/>
          <w:sz w:val="17"/>
        </w:rPr>
        <w:t xml:space="preserve">Zitiervorschlag: § 10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