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AVBayFwG (Bayern) — Inkrafttreten</w:t>
      </w:r>
    </w:p>
    <w:p>
      <w:r>
        <w:rPr>
          <w:color w:val="555555"/>
          <w:sz w:val="18"/>
        </w:rPr>
        <w:t xml:space="preserve">Feuerwehrgesetzausführungsverordnung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1982 in Kraft.</w:t>
      </w:r>
    </w:p>
    <w:p>
      <w:r>
        <w:t xml:space="preserve">[Amtl. Anm.:] Betrifft die ursprüngliche Fassung vom 29. Dezember 1981 (GVBl. 1982 S. 26)</w:t>
      </w:r>
    </w:p>
    <w:p>
      <w:r>
        <w:rPr>
          <w:color w:val="555555"/>
          <w:sz w:val="17"/>
        </w:rPr>
        <w:t xml:space="preserve">Zitiervorschlag: § 20 AVBayFwG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https://recht.nulegal.eu/gesetze/AVBayFwG/20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