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AVBayFwG (Bayern) — Entschädigung der Kreisbrandräte, der Kreisbrandinspektoren und Kreisbrandmeister</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der Kreisbrandräte, der Kreisbrandinspektoren und Kreisbrandmeister muss sich in folgendem Rahmen halten:</w:t>
      </w:r>
    </w:p>
    <w:p>
      <w:r>
        <w:t xml:space="preserve">1.</w:t>
      </w:r>
    </w:p>
    <w:p>
      <w:r>
        <w:t xml:space="preserve">für die Kreisbrandräte monatlich</w:t>
      </w:r>
    </w:p>
    <w:p>
      <w:r>
        <w:t xml:space="preserve">965,10 € bis 2 000,00 €,</w:t>
      </w:r>
    </w:p>
    <w:p>
      <w:r>
        <w:t xml:space="preserve">2.</w:t>
      </w:r>
    </w:p>
    <w:p>
      <w:r>
        <w:t xml:space="preserve">für die Kreisbrandinspektoren monatlich</w:t>
      </w:r>
    </w:p>
    <w:p>
      <w:r>
        <w:t xml:space="preserve">531,20 € bis 1 150,00 €,</w:t>
      </w:r>
    </w:p>
    <w:p>
      <w:r>
        <w:t xml:space="preserve">3.</w:t>
      </w:r>
    </w:p>
    <w:p>
      <w:r>
        <w:t xml:space="preserve">für die Kreisbrandmeister monatlich</w:t>
      </w:r>
    </w:p>
    <w:p>
      <w:r>
        <w:t xml:space="preserve">217,40 € bis 400,00 €.</w:t>
      </w:r>
    </w:p>
    <w:p>
      <w:r>
        <w:t xml:space="preserve">[ Redaktioneller Hinweis: Gemäß Bek. v. 13.12.2024 (BayMBl. 2025 Nr. 9) beträgt die Entschädigung</w:t>
      </w:r>
    </w:p>
    <w:p>
      <w:r>
        <w:t xml:space="preserve">– ab 1.2.2025 für Kreisbrandräte 1 130,50 € bis 2 342,70 €, für Kreisbrandinspektoren 622,40 € bis 1 347,10 € und für Kreisbrandmeister 254,80 € bis 468,70 €.</w:t>
      </w:r>
    </w:p>
    <w:p>
      <w:r>
        <w:t xml:space="preserve">Bei der Festsetzung der Entschädigung ist insbesondere zu berücksichtigen, welchen Umfang die mit dem Amt verbundene Tätigkeit hat und ob und in welcher Höhe Verdienstausfall abgegolten wird. Der Verdienstausfall kann jedoch nicht abgegolten werden, wenn er durch die Teilnahme an Ausbildungsveranstaltungen entsteht, die länger als zwei Tage dauern.</w:t>
      </w:r>
    </w:p>
    <w:p>
      <w:r>
        <w:t xml:space="preserve">(2) Einheitliche Änderungen aller Grundgehälter der Besoldungsordnung A gelten mit dem gleichen Vomhundertsatz unmittelbar für die Rahmensätze des Abs. 1 und für die danach festgesetzte Entschädigung. Centbeträge sind dabei auf volle zehn Cent aufzurunden.</w:t>
      </w:r>
    </w:p>
    <w:p>
      <w:r>
        <w:t xml:space="preserve">(3) Neben der Entschädigung sind in dem für die ordnungsgemäße Erledigung der Aufgaben erforderlichen Umfang zu erstatten:</w:t>
      </w:r>
    </w:p>
    <w:p>
      <w:r>
        <w:t xml:space="preserve">1. den Kreisbrandräten und Kreisbrandinspektoren die Auslagen für die Beschaffung und den Unterhalt der Dienstkleidung, für die Bereitstellung eines Dienstraums, für eine Schreibhilfe und für Geschäftsbedürfnisse,</w:t>
      </w:r>
    </w:p>
    <w:p>
      <w:r>
        <w:t xml:space="preserve">2. den Kreisbrandmeistern die Auslagen für Beschaffung und Unterhalt der Dienstkleidung.</w:t>
      </w:r>
    </w:p>
    <w:p>
      <w:r>
        <w:t xml:space="preserve">Die übrigen Auslagen werden durch die Entschädigung abgegolten.</w:t>
      </w:r>
    </w:p>
    <w:p>
      <w:r>
        <w:t xml:space="preserve">(4) Kreisbrandräten, Kreisbrandinspektoren und Kreisbrandmeistern wird für Reisen und Gänge, die ausschließlich zur Wahrnehmung der ihnen obliegenden Aufgaben durchgeführt werden, Reisekostenvergütung in entsprechender Anwendung der für Beamte, ausgenommen der Besoldungsgruppen A1 bis A7, geltenden Vorschriften gewährt; Art. 5 Abs. 1 Satz 3 BayRKG findet keine Anwendung.</w:t>
      </w:r>
    </w:p>
    <w:p>
      <w:r>
        <w:rPr>
          <w:color w:val="555555"/>
          <w:sz w:val="17"/>
        </w:rPr>
        <w:t xml:space="preserve">Zitiervorschlag: § 13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