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AVBayFwG (Bayern) — Kreisbrandräte</w:t>
      </w:r>
    </w:p>
    <w:p>
      <w:r>
        <w:rPr>
          <w:color w:val="555555"/>
          <w:sz w:val="18"/>
        </w:rPr>
        <w:t xml:space="preserve">Feuerwehrgesetzausführungsverordnung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Erfüllung ihrer Aufgaben nach Art. 19 Abs. 1 BayFwG haben die Kreisbrandräte insbesondere</w:t>
      </w:r>
    </w:p>
    <w:p>
      <w:r>
        <w:t xml:space="preserve">1. mindestens einmal im Jahr die Kommandanten der Freiwilligen und der Pflichtfeuerwehren sowie die Leiter der Werkfeuerwehren zu einer Ausbildungsveranstaltung einzuberufen,</w:t>
      </w:r>
    </w:p>
    <w:p>
      <w:r>
        <w:t xml:space="preserve">2. mindestens alle drei Jahre die Freiwilligen Feuerwehren, die Pflichtfeuerwehren und die Werkfeuerwehren zu besichtigen,</w:t>
      </w:r>
    </w:p>
    <w:p>
      <w:r>
        <w:t xml:space="preserve">3. an größeren Feuerwehreinsätzen im Landkreis teilzunehmen,</w:t>
      </w:r>
    </w:p>
    <w:p>
      <w:r>
        <w:t xml:space="preserve">4. an den Dienstversammlungen der Kreisbrandräte teilzunehmen.</w:t>
      </w:r>
    </w:p>
    <w:p>
      <w:r>
        <w:t xml:space="preserve">In den Fällen der Nummern 2 und 3 können sich die Kreisbrandräte auch durch die Kreisbrandinspektoren oder Kreisbrandmeister vertreten lassen.</w:t>
      </w:r>
    </w:p>
    <w:p>
      <w:r>
        <w:t xml:space="preserve">(2) Die Kreisbrandräte und die Kreisbrandinspektoren müssen über geeignete Kraftfahrzeuge und ausreichende Fernmeldeeinrichtungen verfügen können.</w:t>
      </w:r>
    </w:p>
    <w:p>
      <w:r>
        <w:rPr>
          <w:color w:val="555555"/>
          <w:sz w:val="17"/>
        </w:rPr>
        <w:t xml:space="preserve">Zitiervorschlag: § 12 AVBayFwG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https://recht.nulegal.eu/gesetze/AVBayFwG/12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