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AVBayFwG (Bayern) — Einzelne Aufgaben der Gemeinden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Rahmen von Art. 1 Abs. 2 Satz 1 des Bayerischen Feuerwehrgesetzes (BayFwG) haben die Gemeinden insbesondere</w:t>
      </w:r>
    </w:p>
    <w:p>
      <w:r>
        <w:t xml:space="preserve">1. Gerätehäuser mit den erforderlichen Einrichtungen bereitzustellen,</w:t>
      </w:r>
    </w:p>
    <w:p>
      <w:r>
        <w:t xml:space="preserve">2. Fahrzeuge, Geräte, Material, Schutzausrüstung und Dienstkleidung zu beschaffen,</w:t>
      </w:r>
    </w:p>
    <w:p>
      <w:r>
        <w:t xml:space="preserve">3. Einrichtungen zur Meldung und Alarmierung in der Gemeinde zu beschaffen und zu betreiben,</w:t>
      </w:r>
    </w:p>
    <w:p>
      <w:r>
        <w:t xml:space="preserve">4. den Verwaltungsaufwand und, soweit dafür nicht Dritte aufkommen, die Kosten der Aus- und Fortbildung zu tragen.</w:t>
      </w:r>
    </w:p>
    <w:p>
      <w:r>
        <w:rPr>
          <w:color w:val="555555"/>
          <w:sz w:val="17"/>
        </w:rPr>
        <w:t xml:space="preserve">Zitiervorschlag: § 1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