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AVBayFiG (Bayern) — Persönliche und fachliche Eignung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Fischereiaufseher dürfen nur Personen bestellt werden, die volljährig und zuverlässig sind. Sie müssen gesundheitlich und zeitlich in der Lage sein, ihren Aufgaben nachzukommen.</w:t>
      </w:r>
    </w:p>
    <w:p>
      <w:r>
        <w:t xml:space="preserve">(2) Die Bestellung ist ferner davon abhängig, dass der Bewerber einen gültigen Fischereischein hat und über ausreichende Kenntnisse der in Art. 61 Abs. 1 bis 6 BayFiG genannten Aufgaben und Befugnisse verfügt. Die in Satz 1 geforderten Kenntnisse werden durch einen bestandenen Eignungstest nachgewiesen, den die Landesanstalt ausrichtet.</w:t>
      </w:r>
    </w:p>
    <w:p>
      <w:r>
        <w:t xml:space="preserve">(3) Die Bestellung kann, auch nachträglich, mit Nebenbestimmungen versehen werden, insbesondere mit der Auflage, nachweislich an geeigneten Fortbildungsveranstaltungen teilzunehmen. Der Landesfischereiverband Bayern e. V. stellt sicher, dass Fortbildungsveranstaltungen bedarfsgerecht angeboten werden.</w:t>
      </w:r>
    </w:p>
    <w:p>
      <w:r>
        <w:rPr>
          <w:color w:val="555555"/>
          <w:sz w:val="17"/>
        </w:rPr>
        <w:t xml:space="preserve">Zitiervorschlag: § 30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