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AVBayFiG (Bayern) — Fischereischein ohne vorherige Fischerprüfung</w:t>
      </w:r>
    </w:p>
    <w:p>
      <w:r>
        <w:rPr>
          <w:color w:val="555555"/>
          <w:sz w:val="18"/>
        </w:rPr>
        <w:t xml:space="preserve">Verordnung zur Ausführung des Bayerischen Fischereigesetzes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Art. 48 Satz 1 BayFiG können den Fischereischein ohne vorheriges Bestehen der Fischerprüfung oder einer gleichgestellten Prüfung erhalten</w:t>
      </w:r>
    </w:p>
    <w:p>
      <w:r>
        <w:t xml:space="preserve">1. volljährige Personen, die sich nur vorübergehend in der Bundesrepublik Deutschland aufhalten, ohne hier einen Wohnsitz zu begründen,</w:t>
      </w:r>
    </w:p>
    <w:p>
      <w:r>
        <w:t xml:space="preserve">2. Personen, die urkundlich nachweisen können, dass sie in der Bundesrepublik Deutschland</w:t>
      </w:r>
    </w:p>
    <w:p>
      <w:r>
        <w:t xml:space="preserve">a) als Berufsfischer in der Zeit vom 1. Januar 1971 bis 31. August 1986 ohne weiteren Nachweis mindestens einen Fischereischein erhalten haben,</w:t>
      </w:r>
    </w:p>
    <w:p>
      <w:r>
        <w:t xml:space="preserve">b) die Abschluss- oder Meisterprüfung im Ausbildungsberuf Fischwirt/Fischwirtin bestanden haben oder in diesem Beruf ausgebildet werden und an der Zwischenprüfung teilgenommen haben oder</w:t>
      </w:r>
    </w:p>
    <w:p>
      <w:r>
        <w:t xml:space="preserve">c) unter Befreiung von der landesgesetzlichen Pflicht zur Ablegung einer Fischerprüfung einen Fischereischein erhalten haben,</w:t>
      </w:r>
    </w:p>
    <w:p>
      <w:r>
        <w:t xml:space="preserve">3. Mitglieder diplomatischer und berufskonsularischer Vertretungen und deren Angehörige, soweit sie durch Ausweis des Auswärtigen Amtes oder der Staats- oder Senatskanzlei eines Landes ausgewiesen sind,</w:t>
      </w:r>
    </w:p>
    <w:p>
      <w:r>
        <w:t xml:space="preserve">4. volljährige Personen</w:t>
      </w:r>
    </w:p>
    <w:p>
      <w:r>
        <w:t xml:space="preserve">a) mit einem auf einer geistigen Behinderung beruhenden und amtlich festgestellten Grad der Behinderung</w:t>
      </w:r>
    </w:p>
    <w:p>
      <w:r>
        <w:t xml:space="preserve">aa) von mindestens 80 oder</w:t>
      </w:r>
    </w:p>
    <w:p>
      <w:r>
        <w:t xml:space="preserve">bb) von mindestens 50, sofern nachweislich eine Schule zur sonderpädagogischen Förderung besucht wurde oder wird,</w:t>
      </w:r>
    </w:p>
    <w:p>
      <w:r>
        <w:t xml:space="preserve">b) die durch Vorlage des Ausweises für schwerbehinderte Menschen und einer fachärztlichen Bescheinigung nachweisen, dass sie nach Art und Schwere ihrer körperlichen oder seelischen Behinderung die Fischerprüfung gemäß Art. 48 Satz 1 BayFiG nicht bestehen können oder</w:t>
      </w:r>
    </w:p>
    <w:p>
      <w:r>
        <w:t xml:space="preserve">5. Vertriebene und Spätaussiedler, die urkundlich nachweisen können, dass sie</w:t>
      </w:r>
    </w:p>
    <w:p>
      <w:r>
        <w:t xml:space="preserve">a) einen gültigen Vertriebenenausweis oder eine Bescheinigung zum Nachweis der Spätaussiedlereigenschaft nach § 15 des Bundesvertriebenengesetzes (BVFG) besitzen und</w:t>
      </w:r>
    </w:p>
    <w:p>
      <w:r>
        <w:t xml:space="preserve">b) einen gleichwertigen fischereilichen Befähigungsnachweis außerhalb der Bundesrepublik Deutschland nach § 10 BVFG erworben haben.</w:t>
      </w:r>
    </w:p>
    <w:p>
      <w:r>
        <w:t xml:space="preserve">Für den nach</w:t>
      </w:r>
    </w:p>
    <w:p>
      <w:r>
        <w:t xml:space="preserve">1. Satz 1 Nr. 1 erteilten Fischereischein beträgt die Geltungsdauer ein Jahr, beschränkt auf höchstens drei von der antragstellenden Person bestimmte Monate (Jahresfischereischein),</w:t>
      </w:r>
    </w:p>
    <w:p>
      <w:r>
        <w:t xml:space="preserve">2. Satz 1 Nr. 4 erteilten Fischereischein gilt Art. 47 Abs. 2 Satz 1 BayFiG entsprechend.</w:t>
      </w:r>
    </w:p>
    <w:p>
      <w:r>
        <w:rPr>
          <w:color w:val="555555"/>
          <w:sz w:val="17"/>
        </w:rPr>
        <w:t xml:space="preserve">Zitiervorschlag: § 3 AVBayFiG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https://recht.nulegal.eu/gesetze/AVBayFiG/3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