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AVBayFiG (Bayern) — Ausnahmen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Landesanstalt, das Landesamt für Umwelt zur Durchführung von Untersuchungen in den Bereichen Gewässerökologie sowie Arten- und Lebensraumschutz und die Fachberatungen der Bezirke für das Fischereiwesen sind für ihre Beschäftigten und Beauftragten im Rahmen der jeweiligen Dienstaufgaben befreit von den</w:t>
      </w:r>
    </w:p>
    <w:p>
      <w:r>
        <w:t xml:space="preserve">1. Fangbeschränkungen nach § 11; § 11 Abs. 5 Satz 1 Nr. 2 ist jedoch entsprechend anzuwenden,</w:t>
      </w:r>
    </w:p>
    <w:p>
      <w:r>
        <w:t xml:space="preserve">2. Verboten und Beschränkungen nach § 15 Abs. 1 Nr. 4 und 5, Abs. 2 und 3 Nr. 1,</w:t>
      </w:r>
    </w:p>
    <w:p>
      <w:r>
        <w:t xml:space="preserve">3. Vorschriften der §§ 14, 17, 18, 22, 25 und 27 Abs. 1 Satz 1; die Befreiung von § 22 gilt nicht für das nach dem Gentechnikgesetz genehmigungsbedürftige Aussetzen gentechnisch veränderter Fische.</w:t>
      </w:r>
    </w:p>
    <w:p>
      <w:r>
        <w:t xml:space="preserve">(2) Für die Ausübung der Elektrofischerei durch die Beschäftigten und Beauftragten der in Abs. 1 genannten Einrichtungen gelten die Vorschriften des § 19 Abs. 2 und 4 mit Ausnahme von Abs. 2 Satz 1 Nr. 3.</w:t>
      </w:r>
    </w:p>
    <w:p>
      <w:r>
        <w:t xml:space="preserve">(3) Die Kreisverwaltungsbehörde kann auf Antrag im Einvernehmen mit der Landesanstalt für bestimmte Untersuchungs-, Lehr- und Forschungsvorhaben entsprechend den Abs. 1 und 2 Befreiung erteilen.</w:t>
      </w:r>
    </w:p>
    <w:p>
      <w:r>
        <w:rPr>
          <w:color w:val="555555"/>
          <w:sz w:val="17"/>
        </w:rPr>
        <w:t xml:space="preserve">Zitiervorschlag: § 29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