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AVBayFiG (Bayern) — Einlassen von Wassergeflügel</w:t>
      </w:r>
    </w:p>
    <w:p>
      <w:r>
        <w:rPr>
          <w:color w:val="555555"/>
          <w:sz w:val="18"/>
        </w:rPr>
        <w:t xml:space="preserve">Verordnung zur Ausführung des Bayerischen Fischereigesetzes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Während der Schonzeiten der vorherrschenden Fischarten und bis zum Ablauf von zwei Monaten nach ihrem Ende darf Wassergeflügel in Fischwasser nicht eingelassen werden.</w:t>
      </w:r>
    </w:p>
    <w:p>
      <w:r>
        <w:t xml:space="preserve">(2) Abs. 1 gilt nicht für geschlossene Gewässer im Sinn des Art. 2 Nr. 1 und 2 BayFiG. Das Einlassen von Wassergeflügel in solche Gewässer bedarf der Zustimmung des Fischereiausübungsberechtigten.</w:t>
      </w:r>
    </w:p>
    <w:p>
      <w:r>
        <w:rPr>
          <w:color w:val="555555"/>
          <w:sz w:val="17"/>
        </w:rPr>
        <w:t xml:space="preserve">Zitiervorschlag: § 26 AVBayFiG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https://recht.nulegal.eu/gesetze/AVBayFiG/26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