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AVBayFiG (Bayern) — Fischnährtiere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Fischereiausübungsberechtigte darf dem Gewässer Fischnährtiere mit Ausnahme bestandsgefährdeter Arten entnehmen und die Entnahme Dritten gestatten, soweit dadurch eine Beeinträchtigung der Nahrungsgrundlage des Fischbestandes sowie des Hegeziels gemäß Art. 1 Abs. 2 Satz 3 BayFiG nicht zu befürchten ist.</w:t>
      </w:r>
    </w:p>
    <w:p>
      <w:r>
        <w:t xml:space="preserve">(2) Bei erheblicher Gefährdung des Hegeziels gemäß Art. 1 Abs. 2 Satz 3 BayFiG kann die Kreisverwaltungsbehörde durch befristete Anordnung die Entnahme und das Einbringen von Fischnährtieren weitergehend regeln, beschränken oder verbieten.</w:t>
      </w:r>
    </w:p>
    <w:p>
      <w:r>
        <w:t xml:space="preserve">(3) Die vorstehenden Bestimmungen gelten nicht für geschlossene Gewässer im Sinn von Art. 2 Nr. 1 und 2 BayFiG.</w:t>
      </w:r>
    </w:p>
    <w:p>
      <w:r>
        <w:t xml:space="preserve">(4) Die Entnahme von Fischnährtieren für Zwecke der amtlichen Prüfung und Feststellung der Gewässerbeschaffenheit bleibt unberührt.</w:t>
      </w:r>
    </w:p>
    <w:p>
      <w:r>
        <w:rPr>
          <w:color w:val="555555"/>
          <w:sz w:val="17"/>
        </w:rPr>
        <w:t xml:space="preserve">Zitiervorschlag: § 25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