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AVBayFiG (Bayern) — Verbringen fremder Arten in Aquakulturanlagen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Wird ein Antrag für das Einführen einer nicht heimischen Art oder das Umsiedeln einer gebietsfremden Art nach Art. 6 Abs. 1 der Verordnung (EG) Nr. 708/2007 nicht innerhalb der Frist nach Art. 10 Abs. 1 der Verordnung (EG) Nr. 708/2007 schriftlich verbeschieden, gilt der Antrag als genehmigt.</w:t>
      </w:r>
    </w:p>
    <w:p>
      <w:r>
        <w:t xml:space="preserve">(2) Soweit das Einführen einer nicht heimischen Art oder das Umsiedeln einer gebietsfremden Art nach Art. 6 Abs. 1 der Verordnung (EG) Nr. 708/2007 einer Genehmigung bedarf, dürfen Tiere der betreffenden Art nur mit Genehmigung eingeführt oder umgesiedelt werden.</w:t>
      </w:r>
    </w:p>
    <w:p>
      <w:r>
        <w:t xml:space="preserve">(3) Für das Verbringen von Tieren fremder Arten in Anlagen der Aquakultur gelten die übrigen Vorschriften dieser Verordnung, soweit das Recht der Europäischen Union oder die Abs. 1 und 2 nichts Abweichendes bestimmen.</w:t>
      </w:r>
    </w:p>
    <w:p>
      <w:r>
        <w:rPr>
          <w:color w:val="555555"/>
          <w:sz w:val="17"/>
        </w:rPr>
        <w:t xml:space="preserve">Zitiervorschlag: § 23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