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AVBayFiG (Bayern) — Behandlung toter Fische</w:t>
      </w:r>
    </w:p>
    <w:p>
      <w:r>
        <w:rPr>
          <w:color w:val="555555"/>
          <w:sz w:val="18"/>
        </w:rPr>
        <w:t xml:space="preserve">Verordnung zur Ausführung des Bayerischen Fischereigesetzes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Fische, die in Fanggeräten oder Fangvorrichtungen tot aufgefunden werden, sind dem Gewässer unverzüglich zu entnehmen.</w:t>
      </w:r>
    </w:p>
    <w:p>
      <w:r>
        <w:t xml:space="preserve">(2) Tote Fische und Teile von Fischen dürfen in ein Gewässer nicht eingebracht werden. Das gilt nicht für das Einbringen nach den Regeln der guten fachlichen Praxis</w:t>
      </w:r>
    </w:p>
    <w:p>
      <w:r>
        <w:t xml:space="preserve">1. als Köderfische,</w:t>
      </w:r>
    </w:p>
    <w:p>
      <w:r>
        <w:t xml:space="preserve">2. als Futterfische, jedoch beschränkt auf geschlossene Gewässer im Sinn von Art. 2 Nr. 1 und 2 BayFiG sowie auf Fischgehege.</w:t>
      </w:r>
    </w:p>
    <w:p>
      <w:r>
        <w:t xml:space="preserve">Beschränkungen nach anderen Rechtsvorschriften, insbesondere des Wasserrechts und des Tierseuchenrechts, bleiben unberührt.</w:t>
      </w:r>
    </w:p>
    <w:p>
      <w:r>
        <w:rPr>
          <w:color w:val="555555"/>
          <w:sz w:val="17"/>
        </w:rPr>
        <w:t xml:space="preserve">Zitiervorschlag: § 21 AVBayFiG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https://recht.nulegal.eu/gesetze/AVBayFiG/21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