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AVBayFiG (Bayern) — Angelfischerei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Handangel darf höchstens fünf Anbissstellen, d.h. Einfach-, Doppel- oder Drillingshaken, haben, die beim Fang mit natürlichen oder künstlichen Ködern versehen sein müssen.</w:t>
      </w:r>
    </w:p>
    <w:p>
      <w:r>
        <w:t xml:space="preserve">(2) Die Handangel muss ständig beaufsichtigt werden. Die Handangel darf nicht als Reißangel verwendet werden.</w:t>
      </w:r>
    </w:p>
    <w:p>
      <w:r>
        <w:t xml:space="preserve">(3) Ausgelegte Legangeln (Grund- und Schwebschnüre) sind mindestens täglich zu heben.</w:t>
      </w:r>
    </w:p>
    <w:p>
      <w:r>
        <w:rPr>
          <w:color w:val="555555"/>
          <w:sz w:val="17"/>
        </w:rPr>
        <w:t xml:space="preserve">Zitiervorschlag: § 16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