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AVBayFiG (Bayern) — Gemeinschaftsfischen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Gemeinschaftsfischen mit abschließender Wertung der Fangergebnisse sind nur im Rahmen traditioneller Veranstaltungen und zur Erfüllung der Hegepflicht gemäß Art. 1 Abs. 2 BayFiG im Fanggewässer zulässig.</w:t>
      </w:r>
    </w:p>
    <w:p>
      <w:r>
        <w:t xml:space="preserve">(2) Innerhalb von vier Wochen nach einer Besatzmaßnahme sind Gemeinschaftsfischen unzulässig, sofern nicht auszuschließen ist, dass neu eingesetzte Fische gefangen werden.</w:t>
      </w:r>
    </w:p>
    <w:p>
      <w:r>
        <w:rPr>
          <w:color w:val="555555"/>
          <w:sz w:val="17"/>
        </w:rPr>
        <w:t xml:space="preserve">Zitiervorschlag: § 13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