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AVBayEAG (Bayern)</w:t>
      </w:r>
    </w:p>
    <w:p>
      <w:r>
        <w:rPr>
          <w:color w:val="555555"/>
          <w:sz w:val="18"/>
        </w:rPr>
        <w:t xml:space="preserve">Ausführungsverordnung Einheitlicher Ansprechpartner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28. April 2010</w:t>
      </w:r>
    </w:p>
    <w:p>
      <w:r>
        <w:t xml:space="preserve">Bayerisches Staatsministerium für</w:t>
      </w:r>
    </w:p>
    <w:p>
      <w:r>
        <w:t xml:space="preserve">Wirtschaft, Infrastruktur, Verkehr und Technologie</w:t>
      </w:r>
    </w:p>
    <w:p>
      <w:r>
        <w:t xml:space="preserve">Martin Zeil, Staatsminister</w:t>
      </w:r>
    </w:p>
    <w:p>
      <w:r>
        <w:rPr>
          <w:color w:val="555555"/>
          <w:sz w:val="17"/>
        </w:rPr>
        <w:t xml:space="preserve">Zitiervorschlag: Schlussformel AVBayEAG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https://recht.nulegal.eu/gesetze/AVBayEAG/schlussformel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