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AVBayEAG (Bayern)</w:t>
      </w:r>
    </w:p>
    <w:p>
      <w:r>
        <w:rPr>
          <w:color w:val="555555"/>
          <w:sz w:val="18"/>
        </w:rPr>
        <w:t xml:space="preserve">Ausführungsverordnung Einheitlicher Ansprechpartner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5 Abs. 1 und 2 des Gesetzes über die Zuständigkeit für die Aufgaben des Einheitlichen Ansprechpartners im Freistaat Bayern (Bayerisches EA-Gesetz – BayEAG) vom 22. Dezember 2009 (GVBl S. 626, BayRS 200-6-W) erlässt das Bayerische Staatsministerium für Wirtschaft, Infrastruktur, Verkehr und Technologie im Einvernehmen mit dem Bayerischen Staatsministerium des Innern und dem Bayerischen Staatsministerium der Finanzen folgende Verordnung:</w:t>
      </w:r>
    </w:p>
    <w:p>
      <w:r>
        <w:rPr>
          <w:color w:val="555555"/>
          <w:sz w:val="17"/>
        </w:rPr>
        <w:t xml:space="preserve">Zitiervorschlag: Eingangsformel AVBayEAG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https://recht.nulegal.eu/gesetze/AVBayEAG/eingangsformel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