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AVBayEAG (Bayern) — Berichtspflichten des Einheitlichen Ansprechpartners</w:t>
      </w:r>
    </w:p>
    <w:p>
      <w:r>
        <w:rPr>
          <w:color w:val="555555"/>
          <w:sz w:val="18"/>
        </w:rPr>
        <w:t xml:space="preserve">Ausführungsverordnung Einheitlicher Ansprechpartner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Einheitlichen Ansprechpartner haben dem Staatsministerium die Stelle, die die Aufgaben des Einheitlichen Ansprechpartners übernimmt, sowie jede wesentliche organisatorische Änderung dieser Stelle unverzüglich mitzuteilen.</w:t>
      </w:r>
    </w:p>
    <w:p>
      <w:r>
        <w:t xml:space="preserve">(2) Die Einheitlichen Ansprechpartner haben dem Staatsministerium jeweils am Ende eines Kalenderhalbjahres in anonymisierter Form Bericht zu erstatten über</w:t>
      </w:r>
    </w:p>
    <w:p>
      <w:r>
        <w:t xml:space="preserve">1. die Anzahl der Informationsanfragen,</w:t>
      </w:r>
    </w:p>
    <w:p>
      <w:r>
        <w:t xml:space="preserve">2. die Anzahl der Fälle, in denen der Einheitliche Ansprechpartner die Koordinierung von Verfahren übernommen hat.</w:t>
      </w:r>
    </w:p>
    <w:p>
      <w:r>
        <w:t xml:space="preserve">Die Angaben zu Satz 1 Nrn. 1 und 2 sind jeweils zu gliedern nach Dienstleistung oder Niederlassung, Herkunftsstaat, Art der Dienstleistung und Verfahrensstand.</w:t>
      </w:r>
    </w:p>
    <w:p>
      <w:r>
        <w:rPr>
          <w:color w:val="555555"/>
          <w:sz w:val="17"/>
        </w:rPr>
        <w:t xml:space="preserve">Zitiervorschlag: § 4 AVBayEAG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https://recht.nulegal.eu/gesetze/AVBayEAG/4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