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AVBayEAG (Bayern) — Informationsaustausch zwischen Einheitlichem Ansprechpartner und zuständiger Behörde</w:t>
      </w:r>
    </w:p>
    <w:p>
      <w:r>
        <w:rPr>
          <w:color w:val="555555"/>
          <w:sz w:val="18"/>
        </w:rPr>
        <w:t xml:space="preserve">Ausführungsverordnung Einheitlicher Ansprechpartner</w:t>
      </w:r>
    </w:p>
    <w:p>
      <w:r>
        <w:rPr>
          <w:color w:val="555555"/>
          <w:sz w:val="18"/>
        </w:rPr>
        <w:t xml:space="preserve">Landesrecht Bayern</w:t>
      </w:r>
    </w:p>
    <w:p>
      <w:r>
        <w:rPr>
          <w:color w:val="555555"/>
          <w:sz w:val="18"/>
        </w:rPr>
        <w:t xml:space="preserve">Stand: 25.08.2026 (konsolidierte Textfassung, kein amtliches Inkrafttretensdatum)</w:t>
      </w:r>
    </w:p>
    <w:p>
      <w:r>
        <w:t xml:space="preserve">Ist ein Einheitlicher Ansprechpartner in die Verfahrensabwicklung einbezogen worden, wird jedoch auch zwischen dem Dienstleistungserbringer und der zuständigen Behörde unmittelbar kommuniziert, ist von der zuständigen Behörde zu gewährleisten, dass der Einheitliche Ansprechpartner jederzeit über den aktuellen Stand des Verfahrens informiert ist.</w:t>
      </w:r>
    </w:p>
    <w:p>
      <w:r>
        <w:rPr>
          <w:color w:val="555555"/>
          <w:sz w:val="17"/>
        </w:rPr>
        <w:t xml:space="preserve">Zitiervorschlag: § 3 AVBayEAG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https://recht.nulegal.eu/gesetze/AVBayEAG/3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