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AVBWasserV — Haftung bei Versorgungsstörungen</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Für Schäden, die ein Kunde durch Unterbrechung der Wasserversorgung oder durch Unregelmäßigkeiten in der Belieferung erleidet, haftet das ihn beliefernde Wasserversorgungsunternehmen aus Vertrag oder unerlaubter Handlung im Falle</w:t>
      </w:r>
    </w:p>
    <w:p>
      <w:pPr>
        <w:ind w:left="420"/>
      </w:pPr>
      <w:r>
        <w:t xml:space="preserve">1. der Tötung oder Verletzung des Körpers oder der Gesundheit des Kunden, es sei denn, daß der Schaden von dem Unternehmen oder einem Erfüllungs- oder Verrichtungsgehilfen weder vorsätzlich noch fahrlässig verursacht worden ist,</w:t>
      </w:r>
    </w:p>
    <w:p>
      <w:pPr>
        <w:ind w:left="420"/>
      </w:pPr>
      <w:r>
        <w:t xml:space="preserve">2. der Beschädigung einer Sache, es sei denn, daß der Schaden weder durch Vorsatz noch durch grobe Fahrlässigkeit des Unternehmens oder eines Erfüllungs- oder Verrichtungsgehilfen verursacht worden ist,</w:t>
      </w:r>
    </w:p>
    <w:p>
      <w:pPr>
        <w:ind w:left="420"/>
      </w:pPr>
      <w:r>
        <w:t xml:space="preserve">3. eines Vermögensschadens, es sei denn, daß dieser weder durch Vorsatz noch durch grobe Fahrlässigkeit des Inhabers des Unternehmens oder eines vertretungsberechtigten Organs oder Gesellschafters verursacht worden ist.</w:t>
      </w:r>
    </w:p>
    <w:p>
      <w:r>
        <w:t xml:space="preserve">§ 831 Abs. 1 Satz 2 des Bürgerlichen Gesetzbuches ist nur bei vorsätzlichem Handeln von Verrichtungsgehilfen anzuwenden.</w:t>
      </w:r>
    </w:p>
    <w:p>
      <w:r>
        <w:t xml:space="preserve">(2) Absatz 1 ist auch auf Ansprüche von Kunden anzuwenden, die diese gegen ein drittes Wasserversorgungsunternehmen aus unerlaubter Handlung geltend machen. Das Wasserversorgungsunternehmen ist verpflichtet, seinen Kunden auf Verlangen über die mit der Schadensverursachung durch ein drittes Unternehmen zusammenhängenden Tatsachen insoweit Auskunft zu geben, als sie ihm bekannt sind oder von ihm in zumutbarer Weise aufgeklärt werden können und ihre Kenntnis zur Geltendmachung des Schadensersatzes erforderlich ist.</w:t>
      </w:r>
    </w:p>
    <w:p>
      <w:r>
        <w:t xml:space="preserve">(3) Die Ersatzpflicht entfällt für Schäden unter 15 Euro.</w:t>
      </w:r>
    </w:p>
    <w:p>
      <w:r>
        <w:t xml:space="preserve">(4) Ist der Kunde berechtigt, das gelieferte Wasser an einen Dritten weiterzuleiten, und erleidet dieser durch Unterbrechung der Wasserversorgung oder durch Unregelmäßigkeiten in der Belieferung einen Schaden, so haftet das Wasserversorgungsunternehmen dem Dritten gegenüber in demselben Umfange wie dem Kunden aus dem Versorgungsvertrag.</w:t>
      </w:r>
    </w:p>
    <w:p>
      <w:r>
        <w:t xml:space="preserve">(5) Leitet der Kunde das gelieferte Wasser an einen Dritten weiter, so hat er im Rahmen seiner rechtlichen Möglichkeiten sicherzustellen, daß dieser aus unerlaubter Handlung keine weitergehenden Schadensersatzansprüche erheben kann, als sie in den Absätzen 1 bis 3 vorgesehen sind. Das Wasserversorgungsunternehmen hat den Kunden hierauf bei Abschluß des Vertrages besonders hinzuweisen.</w:t>
      </w:r>
    </w:p>
    <w:p>
      <w:r>
        <w:t xml:space="preserve">(6) Der Kunde hat den Schaden unverzüglich dem ihn beliefernden Wasserversorgungsunternehmen oder, wenn dieses feststeht, dem ersatzpflichtigen Unternehmen mitzuteilen. Leitet der Kunde das gelieferte Wasser an einen Dritten weiter, so hat er diese Verpflichtung auch dem Dritten aufzuerlegen.</w:t>
      </w:r>
    </w:p>
    <w:p>
      <w:r>
        <w:rPr>
          <w:color w:val="555555"/>
          <w:sz w:val="17"/>
        </w:rPr>
        <w:t xml:space="preserve">Zitiervorschlag: § 6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