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AVBWasserV — Art der Versorgung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stellt zu den jeweiligen allgemeinen Versorgungsbedingungen einschließlich der dazugehörenden Preise Wasser zur Verfügung.</w:t>
      </w:r>
    </w:p>
    <w:p>
      <w:r>
        <w:t xml:space="preserve">(2) Änderungen der allgemeinen Versorgungsbedingungen werden erst nach öffentlicher Bekanntgabe wirksam. Dies gilt auch für die dazugehörenden Preise, sofern sie nicht dem Kunden im Einzelfall mitgeteilt werden.</w:t>
      </w:r>
    </w:p>
    <w:p>
      <w:r>
        <w:t xml:space="preserve">(3) Das Wasser muß den jeweils geltenden Rechtsvorschriften und den anerkannten Regeln der Technik für die vereinbarte Bedarfsart (Trink- oder Betriebswasser) entsprechen. Das Wasserversorgungsunternehmen ist verpflichtet, das Wasser unter dem Druck zu liefern, der für eine einwandfreie Deckung des üblichen Bedarfs in dem betreffenden Versorgungsgebiet erforderlich ist. Das Unternehmen ist berechtigt, die Beschaffenheit und den Druck des Wassers im Rahmen der gesetzlichen und behördlichen Bestimmungen sowie der anerkannten Regeln der Technik zu ändern, falls dies in besonderen Fällen aus wirtschaftlichen oder technischen Gründen zwingend notwendig ist; dabei sind die Belange des Kunden möglichst zu berücksichtigen.</w:t>
      </w:r>
    </w:p>
    <w:p>
      <w:r>
        <w:t xml:space="preserve">(4) Stellt der Kunde Anforderungen an Beschaffenheit und Druck des Wassers, die über die vorgenannten Verpflichtungen hinausgehen, so obliegt es ihm selbst, die erforderlichen Vorkehrungen zu treffen.</w:t>
      </w:r>
    </w:p>
    <w:p>
      <w:r>
        <w:rPr>
          <w:color w:val="555555"/>
          <w:sz w:val="17"/>
        </w:rPr>
        <w:t xml:space="preserve">Zitiervorschlag: § 4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