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AVBWasserV — Inkrafttreten</w:t>
      </w:r>
    </w:p>
    <w:p>
      <w:r>
        <w:rPr>
          <w:color w:val="555555"/>
          <w:sz w:val="18"/>
        </w:rPr>
        <w:t xml:space="preserve">Verordnung über Allgemeine Bedingungen für die Versorgung mit Wasser</w:t>
      </w:r>
    </w:p>
    <w:p>
      <w:r>
        <w:rPr>
          <w:color w:val="555555"/>
          <w:sz w:val="18"/>
        </w:rPr>
        <w:t xml:space="preserve">Stand: 10.06.2019 (konsolidierte Textfassung, kein amtliches Inkrafttretensdatum)</w:t>
      </w:r>
    </w:p>
    <w:p>
      <w:r>
        <w:t xml:space="preserve">(1) Diese Verordnung tritt mit Wirkung vom 1. April 1980 in Kraft.</w:t>
      </w:r>
    </w:p>
    <w:p>
      <w:r>
        <w:t xml:space="preserve">(2) Die §§ 2 bis 34 gelten auch für Versorgungsverträge, die vor dem 1. April 1980 zustande gekommen sind, unmittelbar. Das Wasserversorgungsunternehmen ist verpflichtet, die Kunden in geeigneter Weise hierüber zu unterrichten. Laufzeit und Kündigungsbestimmungen der vor Verkündung dieser Verordnung abgeschlossenen Versorgungsverträge bleiben unberührt.</w:t>
      </w:r>
    </w:p>
    <w:p>
      <w:r>
        <w:t xml:space="preserve">(3) § 24 Abs. 2 und 3, § 25 Abs. 1 und 2 sowie § 28 gelten nur für Abrechnungszeiträume, die nach dem 31. Dezember 1980 beginnen.</w:t>
      </w:r>
    </w:p>
    <w:p>
      <w:r>
        <w:rPr>
          <w:color w:val="555555"/>
          <w:sz w:val="17"/>
        </w:rPr>
        <w:t xml:space="preserve">Zitiervorschlag: § 37 AVBWasserV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https://recht.nulegal.eu/gesetze/AVBWasserV/37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