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AVBWasserV — Öffentlich-rechtliche Versorgung mit Wasser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Rechtsvorschriften, die das Versorgungsverhältnis öffentlich-rechtlich regeln, sind den Bestimmungen dieser Verordnung entsprechend zu gestalten; unberührt bleiben die Regelungen des Verwaltungsverfahrens sowie gemeinderechtliche Vorschriften zur Regelung des Abgabenrechts.</w:t>
      </w:r>
    </w:p>
    <w:p>
      <w:r>
        <w:t xml:space="preserve">(2) Bei Inkrafttreten dieser Verordnung geltende Rechtsvorschriften, die das Versorgungsverhältnis öffentlich-rechtlich regeln, sind bis zum 1. Januar 1982 anzupassen.</w:t>
      </w:r>
    </w:p>
    <w:p>
      <w:r>
        <w:rPr>
          <w:color w:val="555555"/>
          <w:sz w:val="17"/>
        </w:rPr>
        <w:t xml:space="preserve">Zitiervorschlag: § 35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