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AVBWasserV — Gerichtsstand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Gerichtsstand für Kaufleute, juristische Personen des öffentlichen Rechts und öffentlich-rechtliche Sondervermögen ist am Sitz der für den Kunden zuständigen Betriebsstelle des Wasserversorgungsunternehmens.</w:t>
      </w:r>
    </w:p>
    <w:p>
      <w:r>
        <w:t xml:space="preserve">(2) Das gleiche gilt,</w:t>
      </w:r>
    </w:p>
    <w:p>
      <w:pPr>
        <w:ind w:left="420"/>
      </w:pPr>
      <w:r>
        <w:t xml:space="preserve">1. wenn der Kunde keinen allgemeinen Gerichtsstand im Inland hat oder</w:t>
      </w:r>
    </w:p>
    <w:p>
      <w:pPr>
        <w:ind w:left="420"/>
      </w:pPr>
      <w:r>
        <w:t xml:space="preserve">2. wenn der Kunde nach Vertragsschluß seinen Wohnsitz oder gewöhnlichen Aufenthaltsort aus dem Geltungsbereich dieser Verordnung verlegt oder sein Wohnsitz oder gewöhnlicher Aufenthalt im Zeitpunkt der Klageerhebung nicht bekannt ist.</w:t>
      </w:r>
    </w:p>
    <w:p>
      <w:r>
        <w:rPr>
          <w:color w:val="555555"/>
          <w:sz w:val="17"/>
        </w:rPr>
        <w:t xml:space="preserve">Zitiervorschlag: § 34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