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33 AVBWasserV — Einstellung der Versorgung, fristlose Kündigung</w:t>
      </w:r>
    </w:p>
    <w:p>
      <w:r>
        <w:rPr>
          <w:color w:val="555555"/>
          <w:sz w:val="18"/>
        </w:rPr>
        <w:t xml:space="preserve">Verordnung über Allgemeine Bedingungen für die Versorgung mit Wasser</w:t>
      </w:r>
    </w:p>
    <w:p>
      <w:r>
        <w:rPr>
          <w:color w:val="555555"/>
          <w:sz w:val="18"/>
        </w:rPr>
        <w:t xml:space="preserve">Stand: 10.06.2019 (konsolidierte Textfassung, kein amtliches Inkrafttretensdatum)</w:t>
      </w:r>
    </w:p>
    <w:p>
      <w:r>
        <w:t xml:space="preserve">(1) Das Wasserversorgungsunternehmen ist berechtigt, die Versorgung fristlos einzustellen, wenn der Kunde den allgemeinen Versorgungsbedingungen zuwiderhandelt und die Einstellung erforderlich ist, um</w:t>
      </w:r>
    </w:p>
    <w:p>
      <w:pPr>
        <w:ind w:left="420"/>
      </w:pPr>
      <w:r>
        <w:t xml:space="preserve">1. eine unmittelbare Gefahr für die Sicherheit von Personen oder Anlagen abzuwenden,</w:t>
      </w:r>
    </w:p>
    <w:p>
      <w:pPr>
        <w:ind w:left="420"/>
      </w:pPr>
      <w:r>
        <w:t xml:space="preserve">2. den Verbrauch von Wasser unter Umgehung, Beeinflussung oder vor Anbringung der Meßeinrichtungen zu verhindern oder</w:t>
      </w:r>
    </w:p>
    <w:p>
      <w:pPr>
        <w:ind w:left="420"/>
      </w:pPr>
      <w:r>
        <w:t xml:space="preserve">3. zu gewährleisten, daß Störungen anderer Kunden, störende Rückwirkungen auf Einrichtungen des Unternehmens oder Dritter oder Rückwirkungen auf die Güte des Trinkwassers ausgeschlossen sind.</w:t>
      </w:r>
    </w:p>
    <w:p>
      <w:r>
        <w:t xml:space="preserve">(2) Bei anderen Zuwiderhandlungen, insbesondere bei Nichterfüllung einer Zahlungsverpflichtung trotz Mahnung, ist das Wasserversorgungsunternehmen berechtigt, die Versorgung zwei Wochen nach Androhung einzustellen. Dies gilt nicht, wenn der Kunde darlegt, daß die Folgen der Einstellung außer Verhältnis zur Schwere der Zuwiderhandlung stehen und hinreichende Aussicht besteht, daß der Kunde seinen Verpflichtungen nachkommt. Das Wasserversorgungsunternehmen kann mit der Mahnung zugleich die Einstellung der Versorgung androhen.</w:t>
      </w:r>
    </w:p>
    <w:p>
      <w:r>
        <w:t xml:space="preserve">(3) Das Wasserversorgungsunternehmen hat die Versorgung unverzüglich wieder aufzunehmen, sobald die Gründe für ihre Einstellung entfallen sind und der Kunde die Kosten der Einstellung und Wiederaufnahme der Versorgung ersetzt hat. Die Kosten können pauschal berechnet werden.</w:t>
      </w:r>
    </w:p>
    <w:p>
      <w:r>
        <w:t xml:space="preserve">(4) Das Wasserversorgungsunternehmen ist in den Fällen des Absatzes 1 berechtigt, das Vertragsverhältnis fristlos zu kündigen, in den Fällen der Nummern 1 und 3 jedoch nur, wenn die Voraussetzungen zur Einstellung der Versorgung wiederholt vorliegen. Bei wiederholten Zuwiderhandlungen nach Absatz 2 ist das Unternehmen zur fristlosen Kündigung berechtigt, wenn sie zwei Wochen vorher angedroht wurde; Absatz 2 Satz 2 und 3 gilt entsprechend.</w:t>
      </w:r>
    </w:p>
    <w:p>
      <w:r>
        <w:rPr>
          <w:color w:val="555555"/>
          <w:sz w:val="17"/>
        </w:rPr>
        <w:t xml:space="preserve">Zitiervorschlag: § 33 AVBWasserV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https://recht.nulegal.eu/gesetze/AVBWasserV/33</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