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AVBWasserV — Bedarfsdeckung</w:t>
      </w:r>
    </w:p>
    <w:p>
      <w:r>
        <w:rPr>
          <w:color w:val="555555"/>
          <w:sz w:val="18"/>
        </w:rPr>
        <w:t xml:space="preserve">Verordnung über Allgemeine Bedingungen für die Versorgung mit Wasser</w:t>
      </w:r>
    </w:p>
    <w:p>
      <w:r>
        <w:rPr>
          <w:color w:val="555555"/>
          <w:sz w:val="18"/>
        </w:rPr>
        <w:t xml:space="preserve">Stand: 10.06.2019 (konsolidierte Textfassung, kein amtliches Inkrafttretensdatum)</w:t>
      </w:r>
    </w:p>
    <w:p>
      <w:r>
        <w:t xml:space="preserve">(1) Das Wasserversorgungsunternehmen hat dem Kunden im Rahmen des wirtschaftlich Zumutbaren die Möglichkeit einzuräumen, den Bezug auf den von ihm gewünschten Verbrauchszweck oder auf einen Teilbedarf zu beschränken. Der Kunde ist verpflichtet, seinen Wasserbedarf im vereinbarten Umfange aus dem Verteilungsnetz des Wasserversorgungsunternehmens zu decken.</w:t>
      </w:r>
    </w:p>
    <w:p>
      <w:r>
        <w:t xml:space="preserve">(2) Vor der Errichtung einer Eigengewinnungsanlage hat der Kunde dem Wasserversorgungsunternehmen Mitteilung zu machen. Der Kunde hat durch geeignete Maßnahmen sicherzustellen, daß von seiner Eigenanlage keine Rückwirkungen in das öffentliche Wasserversorgungsnetz möglich sind.</w:t>
      </w:r>
    </w:p>
    <w:p>
      <w:r>
        <w:rPr>
          <w:color w:val="555555"/>
          <w:sz w:val="17"/>
        </w:rPr>
        <w:t xml:space="preserve">Zitiervorschlag: § 3 AVBWasserV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https://recht.nulegal.eu/gesetze/AVBWasserV/3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