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AVBWasserV — Zahlung, Verzug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Rechnungen und Abschläge werden zu dem vom Wasserversorgungsunternehmen angegebenen Zeitpunkt, frühestens jedoch zwei Wochen nach Zugang der Zahlungsaufforderung fällig.</w:t>
      </w:r>
    </w:p>
    <w:p>
      <w:r>
        <w:t xml:space="preserve">(2) Bei Zahlungsverzug des Kunden kann das Wasserversorgungsunternehmen, wenn es erneut zur Zahlung auffordert oder den Betrag durch einen Beauftragten einziehen läßt, die dadurch entstandenen Kosten auch pauschal berechnen.</w:t>
      </w:r>
    </w:p>
    <w:p>
      <w:r>
        <w:rPr>
          <w:color w:val="555555"/>
          <w:sz w:val="17"/>
        </w:rPr>
        <w:t xml:space="preserve">Zitiervorschlag: § 27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