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AVBWasserV — Abschlagszahlungen</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Wird der Verbrauch für mehrere Monate abgerechnet, so kann das Wasserversorgungsunternehmen für die nach der letzten Abrechnung verbrauchte Wassermenge Abschlagszahlung verlangen. Diese ist anteilig für den Zeitraum der Abschlagszahlung entsprechend dem Verbrauch im zuletzt abgerechneten Zeitraum zu berechnen. Ist eine solche Berechnung nicht möglich, so bemißt sich die Abschlagszahlung nach dem durchschnittlichen Verbrauch vergleichbarer Kunden. Macht der Kunde glaubhaft, daß sein Verbrauch erheblich geringer ist, so ist dies angemessen zu berücksichtigen.</w:t>
      </w:r>
    </w:p>
    <w:p>
      <w:r>
        <w:t xml:space="preserve">(2) Ändern sich die Preise, so können die nach der Preisänderung anfallenden Abschlagszahlungen mit dem Vomhundertsatz der Preisänderung entsprechend angepaßt werden.</w:t>
      </w:r>
    </w:p>
    <w:p>
      <w:r>
        <w:t xml:space="preserve">(3) Ergibt sich bei der Abrechnung, daß zu hohe Abschlagszahlungen verlangt wurden, so ist der übersteigende Betrag unverzüglich zu erstatten, spätestens aber mit der nächsten Abschlagsforderung zu verrechnen. Nach Beendigung des Versorgungsverhältnisses sind zuviel gezahlte Abschläge unverzüglich zu erstatten.</w:t>
      </w:r>
    </w:p>
    <w:p>
      <w:r>
        <w:rPr>
          <w:color w:val="555555"/>
          <w:sz w:val="17"/>
        </w:rPr>
        <w:t xml:space="preserve">Zitiervorschlag: § 25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