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AVBWasserV — Abrechnung, Preisänderungsklauseln</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Entgelt wird nach Wahl des Wasserversorgungsunternehmens monatlich oder in anderen Zeitabschnitten, die jedoch zwölf Monate nicht wesentlich überschreiten dürfen, abgerechnet.</w:t>
      </w:r>
    </w:p>
    <w:p>
      <w:r>
        <w:t xml:space="preserve">(2) Ändern sich innerhalb eines Abrechnungszeitraumes die Preise, so wird der für die neuen Preise maßgebliche Verbrauch zeitanteilig berechnet; jahreszeitliche Verbrauchsschwankungen sind auf der Grundlage der für die jeweilige Abnehmergruppe maßgeblichen Erfahrungswerte angemessen zu berücksichtigen. Entsprechendes gilt bei Änderung des Umsatzsteuersatzes.</w:t>
      </w:r>
    </w:p>
    <w:p>
      <w:r>
        <w:t xml:space="preserve">(3) Preisänderungsklauseln sind kostennah auszugestalten. Sie dürfen die Änderung der Preise nur von solchen Berechnungsfaktoren abhängig machen, die der Beschaffung und Bereitstellung des Wassers zuzurechnen sind. Die Berechnungsfaktoren müssen vollständig und in allgemein verständlicher Form ausgewiesen werden.</w:t>
      </w:r>
    </w:p>
    <w:p>
      <w:r>
        <w:rPr>
          <w:color w:val="555555"/>
          <w:sz w:val="17"/>
        </w:rPr>
        <w:t xml:space="preserve">Zitiervorschlag: § 24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https://recht.nulegal.eu/gesetze/AVBWasserV/24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