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AVBWasserV — Vertragsstrafe</w:t>
      </w:r>
    </w:p>
    <w:p>
      <w:r>
        <w:rPr>
          <w:color w:val="555555"/>
          <w:sz w:val="18"/>
        </w:rPr>
        <w:t xml:space="preserve">Verordnung über Allgemeine Bedingungen für die Versorgung mit Wasser</w:t>
      </w:r>
    </w:p>
    <w:p>
      <w:r>
        <w:rPr>
          <w:color w:val="555555"/>
          <w:sz w:val="18"/>
        </w:rPr>
        <w:t xml:space="preserve">Stand: 10.06.2019 (konsolidierte Textfassung, kein amtliches Inkrafttretensdatum)</w:t>
      </w:r>
    </w:p>
    <w:p>
      <w:r>
        <w:t xml:space="preserve">(1) Entnimmt der Kunde Wasser unter Umgehung, Beeinflussung oder vor Anbringung der Meßeinrichtungen oder nach Einstellung der Versorgung, so ist das Wasserversorgungsunternehmen berechtigt, eine Vertragsstrafe zu verlangen. Dabei kann höchstens vom Fünffachen desjenigen Verbrauchs ausgegangen werden, der sich auf der Grundlage des Vorjahresverbrauchs anteilig für die Dauer der unbefugten Entnahme ergibt. Kann der Vorjahresverbrauch des Kunden nicht ermittelt werden, so ist derjenige vergleichbarer Kunden zugrunde zu legen. Die Vertragsstrafe ist nach den für den Kunden geltenden Preisen zu berechnen.</w:t>
      </w:r>
    </w:p>
    <w:p>
      <w:r>
        <w:t xml:space="preserve">(2) Eine Vertragsstrafe kann auch verlangt werden, wenn der Kunde vorsätzlich oder grob fahrlässig die Verpflichtung verletzt, die zur Preisbildung erforderlichen Angaben zu machen. Die Vertragsstrafe beträgt das Zweifache des Betrags, den der Kunde bei Erfüllung seiner Verpflichtung nach den für ihn geltenden Preisen zusätzlich zu zahlen gehabt hätte.</w:t>
      </w:r>
    </w:p>
    <w:p>
      <w:r>
        <w:t xml:space="preserve">(3) Ist die Dauer der unbefugten Entnahme oder der Beginn der Mitteilungspflicht nicht festzustellen, so kann die Vertragsstrafe nach vorstehenden Grundsätzen über einen festgestellten Zeitraum hinaus für längstens ein Jahr erhoben werden.</w:t>
      </w:r>
    </w:p>
    <w:p>
      <w:r>
        <w:rPr>
          <w:color w:val="555555"/>
          <w:sz w:val="17"/>
        </w:rPr>
        <w:t xml:space="preserve">Zitiervorschlag: § 23 AVBWasserV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https://recht.nulegal.eu/gesetze/AVBWasserV/23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