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AVBWasserV — Verwendung des Wassers</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Wasser wird nur für die eigenen Zwecke des Kunden, seiner Mieter und ähnlich berechtigter Personen zur Verfügung gestellt. Die Weiterleitung an sonstige Dritte ist nur mit schriftlicher Zustimmung des Wasserversorgungsunternehmens zulässig. Diese muß erteilt werden, wenn dem Interesse an der Weiterleitung nicht überwiegende versorgungswirtschaftliche Gründe entgegenstehen.</w:t>
      </w:r>
    </w:p>
    <w:p>
      <w:r>
        <w:t xml:space="preserve">(2) Das Wasser darf für alle Zwecke verwendet werden, soweit nicht in dieser Verordnung oder auf Grund sonstiger gesetzlicher oder behördlicher Vorschriften Beschränkungen vorgesehen sind. Das Wasserversorgungsunternehmen kann die Verwendung für bestimmte Zwecke beschränken, soweit dies zur Sicherstellung der allgemeinen Wasserversorgung erforderlich ist.</w:t>
      </w:r>
    </w:p>
    <w:p>
      <w:r>
        <w:t xml:space="preserve">(3) Der Anschluß von Anlagen zum Bezug von Bauwasser ist beim Wasserversorgungsunternehmen vor Beginn der Bauarbeiten zu beantragen. Der Antragsteller hat dem Wasserversorgungsunternehmen alle für die Herstellung und Entfernung des Bauwasseranschlusses entstehenden Kosten zu erstatten. Die Sätze 1 und 2 gelten für Anschlüsse zu sonstigen vorübergehenden Zwecken entsprechend.</w:t>
      </w:r>
    </w:p>
    <w:p>
      <w:r>
        <w:t xml:space="preserve">(4) Soll Wasser aus öffentlichen Hydranten nicht zum Feuerlöschen, sondern zu anderen vorübergehenden Zwecken entnommen werden, sind hierfür Hydrantenstandrohre des Wasserversorgungsunternehmens mit Wasserzählern zu benutzen.</w:t>
      </w:r>
    </w:p>
    <w:p>
      <w:r>
        <w:rPr>
          <w:color w:val="555555"/>
          <w:sz w:val="17"/>
        </w:rPr>
        <w:t xml:space="preserve">Zitiervorschlag: § 22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