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AVBWasserV — Nachprüfung von Meßeinrichtungen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Kunde kann jederzeit die Nachprüfung der Messeinrichtung nach § 39 des Mess- und Eichgesetzes verlangen. Stellt der Kunde den Antrag auf Prüfung nicht bei dem Wasserversorgungsunternehmen, so hat er dieses vor Antragstellung zu benachrichtigen.</w:t>
      </w:r>
    </w:p>
    <w:p>
      <w:r>
        <w:t xml:space="preserve">(2) Die Kosten der Prüfung fallen dem Unternehmen zur Last, falls die Abweichung die gesetzlichen Verkehrsfehlergrenzen überschreitet, sonst dem Kunden.</w:t>
      </w:r>
    </w:p>
    <w:p>
      <w:r>
        <w:rPr>
          <w:color w:val="555555"/>
          <w:sz w:val="17"/>
        </w:rPr>
        <w:t xml:space="preserve">Zitiervorschlag: § 19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