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AVBWasserV — Betrieb, Erweiterung und Änderung von Kundenanlage und Verbrauchseinrichtungen, Mitteilungspflichten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Anlage und Verbrauchseinrichtungen sind so zu betreiben, daß Störungen anderer Kunden, störende Rückwirkungen auf Einrichtungen des Wasserversorgungsunternehmens oder Dritter oder Rückwirkungen auf die Güte des Trinkwasser ausgeschlossen sind.</w:t>
      </w:r>
    </w:p>
    <w:p>
      <w:r>
        <w:t xml:space="preserve">(2) Erweiterungen und Änderungen der Anlage sowie die Verwendung zusätzlicher Verbrauchseinrichtungen sind dem Wasserversorgungsunternehmen mitzuteilen, soweit sich dadurch preisliche Bemessungsgrößen ändern oder sich die vorzuhaltende Leistung wesentlich erhöht.</w:t>
      </w:r>
    </w:p>
    <w:p>
      <w:r>
        <w:rPr>
          <w:color w:val="555555"/>
          <w:sz w:val="17"/>
        </w:rPr>
        <w:t xml:space="preserve">Zitiervorschlag: § 15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