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AVBWasserV — Inbetriebsetzung der Kundenanlage</w:t>
      </w:r>
    </w:p>
    <w:p>
      <w:r>
        <w:rPr>
          <w:color w:val="555555"/>
          <w:sz w:val="18"/>
        </w:rPr>
        <w:t xml:space="preserve">Verordnung über Allgemeine Bedingungen für die Versorgung mit Wasser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Wasserversorgungsunternehmen oder dessen Beauftragte schließen die Kundenanlage an das Verteilungsnetz an und setzen sie in Betrieb.</w:t>
      </w:r>
    </w:p>
    <w:p>
      <w:r>
        <w:t xml:space="preserve">(2) Jede Inbetriebsetzung der Anlage ist beim Wasserversorgungsunternehmen über das Installationsunternehmen zu beantragen.</w:t>
      </w:r>
    </w:p>
    <w:p>
      <w:r>
        <w:t xml:space="preserve">(3) Das Wasserversorgungsunternehmen kann für die Inbetriebsetzung vom Kunden Kostenerstattung verlangen; die Kosten können pauschal berechnet werden.</w:t>
      </w:r>
    </w:p>
    <w:p>
      <w:r>
        <w:rPr>
          <w:color w:val="555555"/>
          <w:sz w:val="17"/>
        </w:rPr>
        <w:t xml:space="preserve">Zitiervorschlag: § 13 AVBWasserV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https://recht.nulegal.eu/gesetze/AVBWasserV/13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