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AVBWasserV — Gegenstand der Verordnung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Soweit Wasserversorgungsunternehmen für den Anschluß an die öffentliche Wasserversorgung und für die öffentliche Versorgung mit Wasser Vertragsmuster oder Vertragsbedingungen verwenden, die für eine Vielzahl von Verträgen vorformuliert sind (allgemeine Versorgungsbedingungen), gelten die §§ 2 bis 34. Diese sind, soweit Absatz 3 und § 35 nichts anderes vorsehen, Bestandteil des Versorgungsvertrages.</w:t>
      </w:r>
    </w:p>
    <w:p>
      <w:r>
        <w:t xml:space="preserve">(2) Die Verordnung gilt nicht für den Anschluß und die Versorgung von Industrieunternehmen und Weiterverteilern sowie für die Vorhaltung von Löschwasser.</w:t>
      </w:r>
    </w:p>
    <w:p>
      <w:r>
        <w:t xml:space="preserve">(3) Der Vertrag kann auch zu allgemeinen Versorgungsbedingungen abgeschlossen werden, die von den §§ 2 bis 34 abweichen, wenn das Wasserversorgungsunternehmen einen Vertragsabschluß zu den allgemeinen Bedingungen dieser Verordnung angeboten hat und der Kunde mit den Abweichungen ausdrücklich einverstanden ist. Auf die abweichenden Bedingungen sind die §§ 305 bis 310 des Bürgerlichen Gesetzbuchs anzuwenden.</w:t>
      </w:r>
    </w:p>
    <w:p>
      <w:r>
        <w:t xml:space="preserve">(4) Das Wasserversorgungsunternehmen hat seine allgemeinen Versorgungsbedingungen, soweit sie in dieser Verordnung nicht abschließend geregelt sind oder nach Absatz 3 von den §§ 2 bis 34 abweichen, einschließlich der dazugehörenden Preisregelungen und Preislisten in geeigneter Weise öffentlich bekanntzugeben.</w:t>
      </w:r>
    </w:p>
    <w:p>
      <w:r>
        <w:rPr>
          <w:color w:val="555555"/>
          <w:sz w:val="17"/>
        </w:rPr>
        <w:t xml:space="preserve">Zitiervorschlag: § 1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