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AVBFernwärmeV — Berechnungsfehler</w:t>
      </w:r>
    </w:p>
    <w:p>
      <w:r>
        <w:rPr>
          <w:color w:val="555555"/>
          <w:sz w:val="18"/>
        </w:rPr>
        <w:t xml:space="preserve">Verordnung über Allgemeine Bedingungen für die Versorgung mit Fernwärme</w:t>
      </w:r>
    </w:p>
    <w:p>
      <w:r>
        <w:rPr>
          <w:color w:val="555555"/>
          <w:sz w:val="18"/>
        </w:rPr>
        <w:t xml:space="preserve">Stand: 10.06.2019 (konsolidierte Textfassung, kein amtliches Inkrafttretensdatum)</w:t>
      </w:r>
    </w:p>
    <w:p>
      <w:r>
        <w:t xml:space="preserve">(1) Ergibt eine Prüfung der Meßeinrichtungen eine nicht unerhebliche Ungenauigkeit oder werden Fehler in der Ermittlung des Rechnungsbetrages festgestellt, so ist der zuviel oder zuwenig berechnete Betrag zu erstatten oder nachzuentrichten. Ist die Größe des Fehlers nicht einwandfrei festzustellen oder zeigt eine Meßeinrichtung nicht an, so ermittelt das Fernwärmeversorgungsunternehmen den Verbrauch für die Zeit seit der letzten fehlerfreien Ablesung aus dem Durchschnittsverbrauch des ihr vorhergehenden und des der Feststellung des Fehlers nachfolgenden Ablesezeitraums oder auf Grund des vorjährigen Verbrauchs durch Schätzung; die tatsächlichen Verhältnisse sind angemessen zu berücksichtigen.</w:t>
      </w:r>
    </w:p>
    <w:p>
      <w:r>
        <w:t xml:space="preserve">(2) Ansprüche nach Absatz 1 sind auf den der Feststellung des Fehlers vorhergehenden Ablesezeitraum beschränkt, es sei denn, die Auswirkung des Fehlers kann über einen größeren Zeitraum festgestellt werden; in diesem Fall ist der Anspruch auf längstens zwei Jahre beschränkt.</w:t>
      </w:r>
    </w:p>
    <w:p>
      <w:r>
        <w:rPr>
          <w:color w:val="555555"/>
          <w:sz w:val="17"/>
        </w:rPr>
        <w:t xml:space="preserve">Zitiervorschlag: § 21 AVBFernwärmeV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https://recht.nulegal.eu/gesetze/AVBFernw%C3%A4rmeV/21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