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AVArt.53LKrO (Bayern)</w:t>
      </w:r>
    </w:p>
    <w:p>
      <w:r>
        <w:rPr>
          <w:color w:val="555555"/>
          <w:sz w:val="18"/>
        </w:rPr>
        <w:t xml:space="preserve">Verordnung zur Ausführung des Art. 53 Abs. 2 der Landkreisordnung für den Freistaat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109 der Landkreisordnung (LKrO) und Art. 24 des Finanzausgleichsgesetzes wird folgendes verordnet:</w:t>
      </w:r>
    </w:p>
    <w:p>
      <w:r>
        <w:rPr>
          <w:color w:val="555555"/>
          <w:sz w:val="17"/>
        </w:rPr>
        <w:t xml:space="preserve">Zitiervorschlag: Eingangsformel AVArt.53LKrO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https://recht.nulegal.eu/gesetze/AVArt.53LKrO/eingangsformel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