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AVAVGDV 22</w:t>
      </w:r>
    </w:p>
    <w:p>
      <w:r>
        <w:rPr>
          <w:color w:val="555555"/>
          <w:sz w:val="18"/>
        </w:rPr>
        <w:t xml:space="preserve">Zweiundzwanzigste Verordnung zur Durchführung des Gesetzes über Arbeitsvermittlung und Arbeitslosenversicherung (Fach- und Führungskräfte aus Entwicklungsländern)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Bundesagentur für Arbeit wird beauftragt, an der beruflichen Aus- und Fortbildung von Fach- und Führungskräften aus Entwicklungsländern auf Anforderung des Trägers eines Aus- und Fortbildungsprogramms mitzuwirken</w:t>
      </w:r>
    </w:p>
    <w:p>
      <w:pPr>
        <w:ind w:left="420"/>
      </w:pPr>
      <w:r>
        <w:t xml:space="preserve">1. bei der Auswahl der Teilnehmer an Aus- und Fortbildungsprogrammen,</w:t>
      </w:r>
    </w:p>
    <w:p>
      <w:pPr>
        <w:ind w:left="420"/>
      </w:pPr>
      <w:r>
        <w:t xml:space="preserve">2. bei der Aufstellung und Anpassung der individuellen Aus- und Fortbildungspläne mit dem Ziel einer angemessenen betrieblichen Aus- und Fortbildung,</w:t>
      </w:r>
    </w:p>
    <w:p>
      <w:pPr>
        <w:ind w:left="420"/>
      </w:pPr>
      <w:r>
        <w:t xml:space="preserve">3. bei der Vermittlung angemessener Fortbildungspraktika,</w:t>
      </w:r>
    </w:p>
    <w:p>
      <w:pPr>
        <w:ind w:left="420"/>
      </w:pPr>
      <w:r>
        <w:t xml:space="preserve">4. bei der Erbringung von zur Aus- und Fortbildung erforderlichen Geldleistungen.</w:t>
      </w:r>
    </w:p>
    <w:p>
      <w:r>
        <w:rPr>
          <w:color w:val="555555"/>
          <w:sz w:val="17"/>
        </w:rPr>
        <w:t xml:space="preserve">Zitiervorschlag: § 1 AVAVGDV 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https://recht.nulegal.eu/gesetze/AVAVGDV%2022/1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