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AVAG 2001 — Bescheinigungen zu inländischen Titeln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Bescheinigungen nach Artikel 12 Absatz 1 Buchstabe d und Absatz 3 des Haager Übereinkommens vom 2. Juli 2019 über die Anerkennung und Vollstreckung ausländischer Entscheidungen in Zivil- und Handelssachen werden von dem Gericht ausgestellt, dem die Erteilung einer vollstreckbaren Ausfertigung des Titels obliegt.</w:t>
      </w:r>
    </w:p>
    <w:p>
      <w:r>
        <w:t xml:space="preserve">(2) Die Entscheidung über die Ausstellung der Bescheinigung nach Artikel 12 Absatz 1 Buchstabe d oder Absatz 3 des Haager Übereinkommens vom 2. Juli 2019 über die Anerkennung und Vollstreckung ausländischer Entscheidungen in Zivil- und Handelssachen ist anfechtbar. Hierfür gelten die Vorschriften über die Anfechtbarkeit der Entscheidung über die Erteilung der Vollstreckungsklausel sinngemäß.</w:t>
      </w:r>
    </w:p>
    <w:p>
      <w:r>
        <w:rPr>
          <w:color w:val="555555"/>
          <w:sz w:val="17"/>
        </w:rPr>
        <w:t xml:space="preserve">Zitiervorschlag: § 59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