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AVAG 2001 — Sonderregelungen für die Vollstreckungsabwehrklage</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Ist die Zwangsvollstreckung aus einem Titel zugelassen, so kann der Verpflichtete Einwendungen gegen den Anspruch selbst in einem Verfahren nach § 767 der Zivilprozessordnung oder, wenn der Titel eine Unterhaltssache betrifft, in einem Verfahren nach § 120 Absatz 1 des Gesetzes über das Verfahren in Familiensachen und in den Angelegenheiten der freiwilligen Gerichtsbarkeit in Verbindung mit § 767 der Zivilprozessordnung geltend machen. Handelt es sich bei dem Titel um eine gerichtliche Entscheidung, so gilt dies nur, soweit die Gründe, auf denen die Einwendungen beruhen, erst nach dem Erlass der Entscheidung entstanden sind.</w:t>
      </w:r>
    </w:p>
    <w:p>
      <w:r>
        <w:t xml:space="preserve">(2) Die Klage nach § 767 der Zivilprozessordnung und der Antrag nach § 120 Absatz 1 des Gesetzes über das Verfahren in Familiensachen und in den Angelegenheiten der freiwilligen Gerichtsbarkeit in Verbindung mit § 767 der Zivilprozessordnung sind bei dem Gericht zu erheben, das über den Antrag auf Erteilung der Vollstreckungsklausel entschieden hat. Soweit der Antrag einen Unterhaltstitel zum Gegenstand hat, ist das Familiengericht zuständig; für die örtliche Zuständigkeit gelten die Vorschriften des Gesetzes über das Verfahren in Familiensachen und in den Angelegenheiten der freiwilligen Gerichtsbarkeit für Unterhaltssachen.</w:t>
      </w:r>
    </w:p>
    <w:p>
      <w:r>
        <w:rPr>
          <w:color w:val="555555"/>
          <w:sz w:val="17"/>
        </w:rPr>
        <w:t xml:space="preserve">Zitiervorschlag: § 56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