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AVAG 2001 — Abweichungen von Vorschriften des Allgemeinen Teils; ergänzende Regelungen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 3, 6 Absatz 1, § 7 Absatz 1 Satz 2 und Absatz 2, § 10 Absatz 2 und 3 Satz 2, § 11 Absatz 1 Satz 2 und Absatz 3 Satz 1 und 2 sowie die §§ 12, 14 und 18 finden keine Anwendung.</w:t>
      </w:r>
    </w:p>
    <w:p>
      <w:r>
        <w:t xml:space="preserve">(2) Die Beschwerde gegen die Zulassung der Zwangsvollstreckung ist einzulegen</w:t>
      </w:r>
    </w:p>
    <w:p>
      <w:pPr>
        <w:ind w:left="420"/>
      </w:pPr>
      <w:r>
        <w:t xml:space="preserve">1. innerhalb eines Monats nach Zustellung, wenn der Verpflichtete seinen Wohnsitz im Inland hat;</w:t>
      </w:r>
    </w:p>
    <w:p>
      <w:pPr>
        <w:ind w:left="420"/>
      </w:pPr>
      <w:r>
        <w:t xml:space="preserve">2. innerhalb von zwei Monaten nach Zustellung, wenn der Verpflichtete seinen Wohnsitz im Ausland hat.</w:t>
      </w:r>
    </w:p>
    <w:p>
      <w:r>
        <w:t xml:space="preserve">Die Frist beginnt mit dem Tag, an dem die Vollstreckbarerklärung dem Verpflichteten entweder persönlich oder in seiner Wohnung zugestellt worden ist. Eine Verlängerung dieser Frist wegen weiter Entfernung ist ausgeschlossen.</w:t>
      </w:r>
    </w:p>
    <w:p>
      <w:r>
        <w:t xml:space="preserve">(3) In einem Verfahren, das die Vollstreckbarerklärung einer notariellen Urkunde zum Gegenstand hat, kann diese Urkunde auch von einem Notar für vollstreckbar erklärt werden. Die Vorschriften für das Verfahren der Vollstreckbarerklärung durch ein Gericht gelten sinngemäß.</w:t>
      </w:r>
    </w:p>
    <w:p>
      <w:r>
        <w:rPr>
          <w:color w:val="555555"/>
          <w:sz w:val="17"/>
        </w:rPr>
        <w:t xml:space="preserve">Zitiervorschlag: § 55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