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AVAG 2001 — Zustellungsempfänger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die antragstellende Person in dem Antrag keinen Zustellungsbevollmächtigten im Sinn des § 184 Absatz 1 Satz 1 der Zivilprozessordnung benannt, so können bis zur nachträglichen Benennung alle Zustellungen an sie durch Aufgabe zur Post (§ 184 Absatz 1 Satz 2 und Absatz 2 der Zivilprozessordnung) bewirkt werden.</w:t>
      </w:r>
    </w:p>
    <w:p>
      <w:r>
        <w:t xml:space="preserve">(2) Absatz 1 gilt nicht, wenn die antragstellende Person einen Verfahrensbevollmächtigten für das Verfahren bestellt hat, an den im Inland zugestellt werden kann.</w:t>
      </w:r>
    </w:p>
    <w:p>
      <w:r>
        <w:rPr>
          <w:color w:val="555555"/>
          <w:sz w:val="17"/>
        </w:rPr>
        <w:t xml:space="preserve">Zitiervorschlag: § 5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