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AVAG 2001 — Weitere Sonderregelungen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Verpflichtete keinen Wohnsitz im Inland, so ist für die Vollstreckbarerklärung von Entscheidungen und gerichtlichen Vergleichen auch das Landgericht örtlich zuständig, in dessen Bezirk der Verpflichtete Vermögen hat.</w:t>
      </w:r>
    </w:p>
    <w:p>
      <w:r>
        <w:t xml:space="preserve">(2) Auf das Verfahren über die Beschwerde des Verpflichteten gegen die Zulassung der Zwangsvollstreckung findet § 12 Absatz 2 keine Anwendung. § 12 Absatz 1 gilt für die Beschwerde, die sich gegen die Zulassung der Zwangsvollstreckung aus einem gerichtlichen Vergleich richtet, sinngemäß.</w:t>
      </w:r>
    </w:p>
    <w:p>
      <w:r>
        <w:rPr>
          <w:color w:val="555555"/>
          <w:sz w:val="17"/>
        </w:rPr>
        <w:t xml:space="preserve">Zitiervorschlag: § 49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