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AVAG 2001 — Folgeregelungen für das Rechtsbeschwerdeverfahren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das Verfahren über die Rechtsbeschwerde sind neben den in § 17 Absatz 2 Satz 2 aufgeführten Vorschriften auch die §§ 45 und 47 sinngemäß anzuwenden.</w:t>
      </w:r>
    </w:p>
    <w:p>
      <w:r>
        <w:t xml:space="preserve">(2) Hat der Bundesgerichtshof eine Anordnung nach Absatz 1 in Verbindung mit § 45 Absatz 1 Nummer 1 erlassen, so ist in Abweichung von § 17 Absatz 3 Satz 3 ein Zusatz aufzunehmen, dass die Zwangsvollstreckung über Maßregeln zur Sicherung nicht hinausgehen darf. Der Inhalt des Zusatzes bestimmt sich nach dem Inhalt der Anordnung.</w:t>
      </w:r>
    </w:p>
    <w:p>
      <w:r>
        <w:rPr>
          <w:color w:val="555555"/>
          <w:sz w:val="17"/>
        </w:rPr>
        <w:t xml:space="preserve">Zitiervorschlag: § 48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