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45 AVAG 2001 — Abweichungen von § 22</w:t>
      </w:r>
    </w:p>
    <w:p>
      <w:r>
        <w:rPr>
          <w:color w:val="555555"/>
          <w:sz w:val="18"/>
        </w:rPr>
        <w:t xml:space="preserve">Anerkennungs- und Vollstreckungsausführungsgesetz</w:t>
      </w:r>
    </w:p>
    <w:p>
      <w:r>
        <w:rPr>
          <w:color w:val="555555"/>
          <w:sz w:val="18"/>
        </w:rPr>
        <w:t xml:space="preserve">Stand: 10.06.2019 (konsolidierte Textfassung, kein amtliches Inkrafttretensdatum)</w:t>
      </w:r>
    </w:p>
    <w:p>
      <w:r>
        <w:t xml:space="preserve">(1) Weist das Oberlandesgericht die Beschwerde des Verpflichteten gegen die Zulassung der Zwangsvollstreckung zurück oder lässt es auf die Beschwerde des Berechtigten die Zwangsvollstreckung aus dem Titel zu, so entscheidet es abweichend von § 22 Absatz 1 zugleich darüber, ob die Zwangsvollstreckung über Maßregeln zur Sicherung hinaus fortgesetzt werden kann:</w:t>
      </w:r>
    </w:p>
    <w:p>
      <w:pPr>
        <w:ind w:left="420"/>
      </w:pPr>
      <w:r>
        <w:t xml:space="preserve">1. Ist der Nachweis, dass die Entscheidung rechtskräftig ist, nicht geführt, so ordnet das Oberlandesgericht an, dass die Vollstreckung erst nach Vorlage einer israelischen Rechtskraftbescheinigung nebst Übersetzung (Artikel 15 Absatz 1 Nummer 2 und 7 des Vertrags) unbeschränkt stattfinden darf.</w:t>
      </w:r>
    </w:p>
    <w:p>
      <w:pPr>
        <w:ind w:left="420"/>
      </w:pPr>
      <w:r>
        <w:t xml:space="preserve">2. Ist der Nachweis, dass die Entscheidung rechtskräftig ist, erbracht oder hat die Entscheidung eine Unterhaltspflicht zum Gegenstand oder ist der Titel ein gerichtlicher Vergleich, so ordnet das Oberlandesgericht an, dass die Zwangsvollstreckung unbeschränkt stattfinden darf.</w:t>
      </w:r>
    </w:p>
    <w:p>
      <w:r>
        <w:t xml:space="preserve">(2) § 22 Absatz 2 und 3 bleibt unberührt.</w:t>
      </w:r>
    </w:p>
    <w:p>
      <w:r>
        <w:rPr>
          <w:color w:val="555555"/>
          <w:sz w:val="17"/>
        </w:rPr>
        <w:t xml:space="preserve">Zitiervorschlag: § 45 AVAG 2001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https://recht.nulegal.eu/gesetze/AVAG%202001/45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