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AVAG 2001 — Weitere Sonderregelungen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Verpflichtete keinen Wohnsitz im Inland, so ist für die Vollstreckbarerklärung von Entscheidungen und gerichtlichen Vergleichen auch das Landgericht örtlich zuständig, in dessen Bezirk der Verpflichtete Vermögen hat.</w:t>
      </w:r>
    </w:p>
    <w:p>
      <w:r>
        <w:t xml:space="preserve">(2) Ist die Entscheidung auf die Leistung einer bestimmten Geldsumme gerichtet, so bedarf es für die Zulassung zur Zwangsvollstreckung nicht des Nachweises, dass die Entscheidung rechtskräftig ist (Artikel 10 Absatz 2 und Artikel 17 Absatz 1 Satz 2 des Vertrags).</w:t>
      </w:r>
    </w:p>
    <w:p>
      <w:r>
        <w:t xml:space="preserve">(3) Auf das Verfahren über die Beschwerde des Verpflichteten gegen die Zulassung der Zwangsvollstreckung findet § 12 Absatz 2 keine Anwendung. § 12 Absatz 1 gilt für die Beschwerde, die sich gegen die Zulassung der Zwangsvollstreckung aus einem gerichtlichen Vergleich richtet, sinngemäß.</w:t>
      </w:r>
    </w:p>
    <w:p>
      <w:r>
        <w:t xml:space="preserve">(4) Die Vorschriften über die Feststellung der Anerkennung einer Entscheidung (§§ 25 und 26) und über die Aufhebung oder Änderung dieser Feststellung (§ 29 in Verbindung mit § 27) finden keine Anwendung.</w:t>
      </w:r>
    </w:p>
    <w:p>
      <w:r>
        <w:rPr>
          <w:color w:val="555555"/>
          <w:sz w:val="17"/>
        </w:rPr>
        <w:t xml:space="preserve">Zitiervorschlag: § 44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