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AVAG 2001 — Abweichungen von § 22</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(1) Weist das Oberlandesgericht die Beschwerde des Verpflichteten gegen die Zulassung der Zwangsvollstreckung zurück oder lässt es auf die Beschwerde des Berechtigten die Zwangsvollstreckung aus dem Titel zu, so entscheidet es abweichend von § 22 Absatz 1 zugleich darüber, ob die Zwangsvollstreckung über Maßregeln zur Sicherung hinaus fortgesetzt werden kann:</w:t>
      </w:r>
    </w:p>
    <w:p>
      <w:pPr>
        <w:ind w:left="420"/>
      </w:pPr>
      <w:r>
        <w:t xml:space="preserve">1. Ist bei einer auf eine bestimmte Geldsumme lautenden Entscheidung der Nachweis, dass die Entscheidung rechtskräftig ist, nicht geführt, so ordnet das Oberlandesgericht an, dass die Vollstreckung erst nach Vorlage einer norwegischen Rechtskraftbescheinigung nebst Übersetzung (Artikel 14 Absatz 1 Nummer 2 und 6 und Absatz 2 des Vertrags) unbeschränkt stattfinden kann.</w:t>
      </w:r>
    </w:p>
    <w:p>
      <w:pPr>
        <w:ind w:left="420"/>
      </w:pPr>
      <w:r>
        <w:t xml:space="preserve">2. Ist der Nachweis, dass die Entscheidung rechtskräftig ist, geführt oder ist der Titel ein gerichtlicher Vergleich, so ordnet das Oberlandesgericht an, dass die Zwangsvollstreckung unbeschränkt stattfinden darf.</w:t>
      </w:r>
    </w:p>
    <w:p>
      <w:r>
        <w:t xml:space="preserve">(2) § 22 Absatz 2 und 3 bleibt unberührt.</w:t>
      </w:r>
    </w:p>
    <w:p>
      <w:r>
        <w:rPr>
          <w:color w:val="555555"/>
          <w:sz w:val="17"/>
        </w:rPr>
        <w:t xml:space="preserve">Zitiervorschlag: § 40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https://recht.nulegal.eu/gesetze/AVAG%202001/40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