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AVAG 2001 — Mahnverfahren mit Zustellung im Ausland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Mahnverfahren findet auch statt, wenn die Zustellung des Mahnbescheids in einem anderen Vertrags- oder Mitgliedstaat erfolgen muss. In diesem Falle kann der Anspruch auch die Zahlung einer bestimmten Geldsumme in ausländischer Währung zum Gegenstand haben.</w:t>
      </w:r>
    </w:p>
    <w:p>
      <w:r>
        <w:t xml:space="preserve">(2) Macht der Antragsteller geltend, dass das Gericht auf Grund einer Gerichtsstandsvereinbarung zuständig sei, so hat er dem Mahnantrag die erforderlichen Schriftstücke über die Vereinbarung beizufügen.</w:t>
      </w:r>
    </w:p>
    <w:p>
      <w:r>
        <w:t xml:space="preserve">(3) Die Widerspruchsfrist (§ 692 Absatz 1 Nummer 3 der Zivilprozessordnung) beträgt einen Monat.</w:t>
      </w:r>
    </w:p>
    <w:p>
      <w:r>
        <w:rPr>
          <w:color w:val="555555"/>
          <w:sz w:val="17"/>
        </w:rPr>
        <w:t xml:space="preserve">Zitiervorschlag: § 32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