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31 AVAG 2001 — Vollstreckungsklausel zur Verwendung im Ausland</w:t>
      </w:r>
    </w:p>
    <w:p>
      <w:r>
        <w:rPr>
          <w:color w:val="555555"/>
          <w:sz w:val="18"/>
        </w:rPr>
        <w:t xml:space="preserve">Anerkennungs- und Vollstreckungsausführungsgesetz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Vollstreckungsbescheide, Arrestbefehle und einstweilige Verfügungen oder einstweilige Anordnungen, deren Zwangsvollstreckung in einem anderen Vertrags- oder Mitgliedstaat betrieben werden soll, sind auch dann mit der Vollstreckungsklausel zu versehen, wenn dies für eine Zwangsvollstreckung im Inland nach § 796 Absatz 1, § 929 Absatz 1 und § 936 der Zivilprozessordnung oder nach § 53 Absatz 1 und § 119 des Gesetzes über das Verfahren in Familiensachen und in den Angelegenheiten der freiwilligen Gerichtsbarkeit nicht erforderlich wäre.</w:t>
      </w:r>
    </w:p>
    <w:p>
      <w:r>
        <w:rPr>
          <w:color w:val="555555"/>
          <w:sz w:val="17"/>
        </w:rPr>
        <w:t xml:space="preserve">Zitiervorschlag: § 31 AVAG 2001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https://recht.nulegal.eu/gesetze/AVAG%202001/31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