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 AVAG 2001 — Vervollständigung inländischer Entscheidungen zur Verwendung im Ausland</w:t>
      </w:r>
    </w:p>
    <w:p>
      <w:r>
        <w:rPr>
          <w:color w:val="555555"/>
          <w:sz w:val="18"/>
        </w:rPr>
        <w:t xml:space="preserve">Anerkennungs- und Vollstreckungsausführungsgesetz</w:t>
      </w:r>
    </w:p>
    <w:p>
      <w:r>
        <w:rPr>
          <w:color w:val="555555"/>
          <w:sz w:val="18"/>
        </w:rPr>
        <w:t xml:space="preserve">Stand: 10.06.2019 (konsolidierte Textfassung, kein amtliches Inkrafttretensdatum)</w:t>
      </w:r>
    </w:p>
    <w:p>
      <w:r>
        <w:t xml:space="preserve">(1) Will eine Partei ein Versäumnis- oder Anerkenntnisurteil, das nach § 313b der Zivilprozessordnung in verkürzter Form abgefasst worden ist, in einem anderen Vertrags- oder Mitgliedstaat geltend machen, so ist das Urteil auf ihren Antrag zu vervollständigen. Der Antrag kann bei dem Gericht schriftlich oder durch Erklärung zu Protokoll der Geschäftsstelle gestellt werden. Über den Antrag wird ohne mündliche Verhandlung entschieden.</w:t>
      </w:r>
    </w:p>
    <w:p>
      <w:r>
        <w:t xml:space="preserve">(2) Zur Vervollständigung des Urteils sind der Tatbestand und die Entscheidungsgründe nachträglich abzufassen, von den Richtern besonders zu unterschreiben und der Geschäftsstelle zu übergeben; der Tatbestand und die Entscheidungsgründe können auch von Richtern unterschrieben werden, die bei dem Urteil nicht mitgewirkt haben.</w:t>
      </w:r>
    </w:p>
    <w:p>
      <w:r>
        <w:t xml:space="preserve">(3) Für die Berichtigung des nachträglich abgefassten Tatbestands gilt § 320 der Zivilprozessordnung entsprechend. Jedoch können bei der Entscheidung über einen Antrag auf Berichtigung auch solche Richter mitwirken, die bei dem Urteil oder der nachträglichen Anfertigung des Tatbestands nicht mitgewirkt haben.</w:t>
      </w:r>
    </w:p>
    <w:p>
      <w:r>
        <w:t xml:space="preserve">(4) Die vorstehenden Absätze gelten entsprechend für die Vervollständigung von Arrestbefehlen, einstweiligen Anordnungen und einstweiligen Verfügungen, die in einem anderen Vertrags- oder Mitgliedstaat geltend gemacht werden sollen und nicht mit einer Begründung versehen sind.</w:t>
      </w:r>
    </w:p>
    <w:p>
      <w:r>
        <w:rPr>
          <w:color w:val="555555"/>
          <w:sz w:val="17"/>
        </w:rPr>
        <w:t xml:space="preserve">Zitiervorschlag: § 30 AVAG 2001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https://recht.nulegal.eu/gesetze/AVAG%202001/30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